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24"/>
          <w:lang w:val="en-US" w:eastAsia="zh-CN"/>
        </w:rPr>
      </w:pPr>
      <w:bookmarkStart w:id="0" w:name="_Toc3107"/>
      <w:r>
        <w:rPr>
          <w:rFonts w:hint="eastAsia" w:ascii="宋体" w:hAnsi="宋体"/>
          <w:b/>
          <w:bCs/>
          <w:sz w:val="24"/>
          <w:lang w:val="en-US" w:eastAsia="zh-CN"/>
        </w:rPr>
        <w:t xml:space="preserve">附件：                      </w:t>
      </w:r>
    </w:p>
    <w:p>
      <w:pPr>
        <w:rPr>
          <w:rFonts w:hint="eastAsia" w:ascii="宋体" w:hAnsi="宋体"/>
          <w:b/>
          <w:bCs/>
          <w:sz w:val="24"/>
          <w:lang w:val="en-US" w:eastAsia="zh-CN"/>
        </w:rPr>
      </w:pPr>
    </w:p>
    <w:p>
      <w:pPr>
        <w:jc w:val="center"/>
        <w:rPr>
          <w:rFonts w:hint="eastAsia" w:ascii="宋体" w:hAnsi="宋体"/>
          <w:b/>
          <w:bCs/>
          <w:sz w:val="24"/>
        </w:rPr>
      </w:pPr>
      <w:r>
        <w:rPr>
          <w:rFonts w:hint="eastAsia" w:ascii="宋体" w:hAnsi="宋体"/>
          <w:b/>
          <w:bCs/>
          <w:sz w:val="24"/>
        </w:rPr>
        <w:t>评分标准</w:t>
      </w:r>
      <w:bookmarkEnd w:id="0"/>
    </w:p>
    <w:p>
      <w:pPr>
        <w:pStyle w:val="2"/>
        <w:rPr>
          <w:rFonts w:hint="eastAsia"/>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40"/>
        <w:gridCol w:w="781"/>
        <w:gridCol w:w="5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17" w:type="pct"/>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分值构成（总分</w:t>
            </w:r>
            <w:r>
              <w:rPr>
                <w:rFonts w:hint="eastAsia" w:ascii="宋体" w:hAnsi="宋体" w:cs="宋体"/>
                <w:kern w:val="0"/>
                <w:szCs w:val="21"/>
                <w:u w:val="single"/>
              </w:rPr>
              <w:t>100</w:t>
            </w:r>
            <w:r>
              <w:rPr>
                <w:rFonts w:hint="eastAsia" w:ascii="宋体" w:hAnsi="宋体" w:cs="宋体"/>
                <w:kern w:val="0"/>
                <w:szCs w:val="21"/>
              </w:rPr>
              <w:t>分）</w:t>
            </w:r>
          </w:p>
        </w:tc>
        <w:tc>
          <w:tcPr>
            <w:tcW w:w="348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报价得分：30分</w:t>
            </w:r>
          </w:p>
          <w:p>
            <w:pPr>
              <w:widowControl/>
              <w:jc w:val="left"/>
              <w:rPr>
                <w:rFonts w:hint="eastAsia" w:ascii="宋体" w:hAnsi="宋体" w:cs="宋体"/>
                <w:kern w:val="0"/>
                <w:szCs w:val="21"/>
              </w:rPr>
            </w:pPr>
            <w:r>
              <w:rPr>
                <w:rFonts w:hint="eastAsia" w:ascii="宋体" w:hAnsi="宋体" w:cs="宋体"/>
                <w:kern w:val="0"/>
                <w:szCs w:val="21"/>
              </w:rPr>
              <w:t>企业实力及信誉：15分</w:t>
            </w:r>
          </w:p>
          <w:p>
            <w:pPr>
              <w:widowControl/>
              <w:jc w:val="left"/>
              <w:rPr>
                <w:rFonts w:hint="eastAsia" w:ascii="宋体" w:hAnsi="宋体" w:cs="宋体"/>
                <w:kern w:val="0"/>
                <w:szCs w:val="21"/>
              </w:rPr>
            </w:pPr>
            <w:r>
              <w:rPr>
                <w:rFonts w:hint="eastAsia" w:ascii="宋体" w:hAnsi="宋体" w:cs="宋体"/>
                <w:kern w:val="0"/>
                <w:szCs w:val="21"/>
              </w:rPr>
              <w:t>技术方案：55分。</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59" w:type="pct"/>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评分因素</w:t>
            </w:r>
          </w:p>
        </w:tc>
        <w:tc>
          <w:tcPr>
            <w:tcW w:w="457"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分值</w:t>
            </w:r>
          </w:p>
        </w:tc>
        <w:tc>
          <w:tcPr>
            <w:tcW w:w="348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49" w:type="pct"/>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最终响应报价</w:t>
            </w:r>
          </w:p>
        </w:tc>
        <w:tc>
          <w:tcPr>
            <w:tcW w:w="610" w:type="pct"/>
            <w:vMerge w:val="restart"/>
            <w:noWrap w:val="0"/>
            <w:vAlign w:val="center"/>
          </w:tcPr>
          <w:p>
            <w:pPr>
              <w:widowControl/>
              <w:jc w:val="left"/>
              <w:rPr>
                <w:rFonts w:hint="eastAsia" w:ascii="宋体" w:hAnsi="宋体" w:cs="宋体"/>
                <w:kern w:val="0"/>
                <w:szCs w:val="21"/>
              </w:rPr>
            </w:pPr>
            <w:r>
              <w:rPr>
                <w:rFonts w:hint="eastAsia" w:ascii="宋体" w:hAnsi="宋体" w:cs="宋体"/>
                <w:kern w:val="0"/>
                <w:szCs w:val="21"/>
              </w:rPr>
              <w:t>报价得分</w:t>
            </w:r>
          </w:p>
        </w:tc>
        <w:tc>
          <w:tcPr>
            <w:tcW w:w="457" w:type="pct"/>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30</w:t>
            </w:r>
          </w:p>
        </w:tc>
        <w:tc>
          <w:tcPr>
            <w:tcW w:w="3482" w:type="pct"/>
            <w:noWrap w:val="0"/>
            <w:vAlign w:val="center"/>
          </w:tcPr>
          <w:p>
            <w:pPr>
              <w:widowControl/>
              <w:rPr>
                <w:rFonts w:hint="eastAsia" w:ascii="宋体" w:hAnsi="宋体" w:cs="宋体"/>
                <w:kern w:val="0"/>
                <w:szCs w:val="21"/>
              </w:rPr>
            </w:pPr>
            <w:r>
              <w:rPr>
                <w:rFonts w:hint="eastAsia" w:ascii="宋体" w:hAnsi="宋体" w:cs="宋体"/>
                <w:kern w:val="0"/>
                <w:szCs w:val="21"/>
              </w:rPr>
              <w:t>满足采购文件要求且报价最低的投标报价为评审基准价，其价格分为满分。供应商的报价得分统一按照下列公式计算：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49" w:type="pct"/>
            <w:vMerge w:val="continue"/>
            <w:noWrap w:val="0"/>
            <w:vAlign w:val="center"/>
          </w:tcPr>
          <w:p>
            <w:pPr>
              <w:widowControl/>
              <w:jc w:val="left"/>
              <w:rPr>
                <w:rFonts w:hint="eastAsia" w:ascii="宋体" w:hAnsi="宋体" w:cs="宋体"/>
                <w:kern w:val="0"/>
                <w:szCs w:val="21"/>
              </w:rPr>
            </w:pPr>
          </w:p>
        </w:tc>
        <w:tc>
          <w:tcPr>
            <w:tcW w:w="610" w:type="pct"/>
            <w:vMerge w:val="continue"/>
            <w:noWrap w:val="0"/>
            <w:vAlign w:val="center"/>
          </w:tcPr>
          <w:p>
            <w:pPr>
              <w:widowControl/>
              <w:jc w:val="left"/>
              <w:rPr>
                <w:rFonts w:hint="eastAsia" w:ascii="宋体" w:hAnsi="宋体" w:cs="宋体"/>
                <w:kern w:val="0"/>
                <w:szCs w:val="21"/>
              </w:rPr>
            </w:pPr>
          </w:p>
        </w:tc>
        <w:tc>
          <w:tcPr>
            <w:tcW w:w="457" w:type="pct"/>
            <w:vMerge w:val="continue"/>
            <w:noWrap w:val="0"/>
            <w:vAlign w:val="center"/>
          </w:tcPr>
          <w:p>
            <w:pPr>
              <w:widowControl/>
              <w:jc w:val="left"/>
              <w:rPr>
                <w:rFonts w:hint="eastAsia" w:ascii="宋体" w:hAnsi="宋体" w:cs="宋体"/>
                <w:kern w:val="0"/>
                <w:szCs w:val="21"/>
              </w:rPr>
            </w:pPr>
          </w:p>
        </w:tc>
        <w:tc>
          <w:tcPr>
            <w:tcW w:w="3482" w:type="pct"/>
            <w:noWrap w:val="0"/>
            <w:vAlign w:val="center"/>
          </w:tcPr>
          <w:p>
            <w:pPr>
              <w:widowControl/>
              <w:rPr>
                <w:rFonts w:hint="eastAsia" w:ascii="宋体" w:hAnsi="宋体" w:cs="宋体"/>
                <w:kern w:val="0"/>
                <w:szCs w:val="21"/>
              </w:rPr>
            </w:pPr>
            <w:r>
              <w:rPr>
                <w:rFonts w:hint="eastAsia" w:ascii="宋体" w:hAnsi="宋体" w:cs="宋体"/>
                <w:kern w:val="0"/>
                <w:szCs w:val="21"/>
              </w:rPr>
              <w:t>报价得分＝（评审基准价/该供应商的报价）×30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49" w:type="pct"/>
            <w:vMerge w:val="restart"/>
            <w:shd w:val="clear" w:color="auto" w:fill="auto"/>
            <w:noWrap w:val="0"/>
            <w:vAlign w:val="center"/>
          </w:tcPr>
          <w:p>
            <w:pPr>
              <w:widowControl/>
              <w:rPr>
                <w:rFonts w:hint="eastAsia" w:ascii="宋体" w:hAnsi="宋体" w:cs="宋体"/>
                <w:kern w:val="0"/>
                <w:szCs w:val="21"/>
              </w:rPr>
            </w:pPr>
            <w:r>
              <w:rPr>
                <w:rFonts w:hint="eastAsia" w:ascii="宋体" w:hAnsi="宋体" w:cs="宋体"/>
                <w:kern w:val="0"/>
                <w:szCs w:val="21"/>
              </w:rPr>
              <w:t>企业实力及信誉</w:t>
            </w:r>
          </w:p>
        </w:tc>
        <w:tc>
          <w:tcPr>
            <w:tcW w:w="610" w:type="pct"/>
            <w:vMerge w:val="restart"/>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企业能力证明</w:t>
            </w:r>
          </w:p>
        </w:tc>
        <w:tc>
          <w:tcPr>
            <w:tcW w:w="457" w:type="pct"/>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3482" w:type="pct"/>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供应商具有软件著作权证书，每有一个的3分，本项最多得6分。（提供证书复印件并加盖公章）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449" w:type="pct"/>
            <w:vMerge w:val="continue"/>
            <w:shd w:val="clear" w:color="auto" w:fill="auto"/>
            <w:noWrap w:val="0"/>
            <w:vAlign w:val="center"/>
          </w:tcPr>
          <w:p>
            <w:pPr>
              <w:widowControl/>
              <w:jc w:val="left"/>
              <w:rPr>
                <w:rFonts w:hint="eastAsia" w:ascii="宋体" w:hAnsi="宋体" w:cs="宋体"/>
                <w:kern w:val="0"/>
                <w:szCs w:val="21"/>
              </w:rPr>
            </w:pPr>
          </w:p>
        </w:tc>
        <w:tc>
          <w:tcPr>
            <w:tcW w:w="610" w:type="pct"/>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项目经验</w:t>
            </w:r>
          </w:p>
        </w:tc>
        <w:tc>
          <w:tcPr>
            <w:tcW w:w="457" w:type="pct"/>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3482" w:type="pct"/>
            <w:shd w:val="clear" w:color="000000" w:fill="FFFFFF"/>
            <w:noWrap w:val="0"/>
            <w:vAlign w:val="center"/>
          </w:tcPr>
          <w:p>
            <w:pPr>
              <w:widowControl/>
              <w:jc w:val="left"/>
              <w:rPr>
                <w:rFonts w:hint="eastAsia" w:ascii="宋体" w:hAnsi="宋体" w:cs="宋体"/>
                <w:kern w:val="0"/>
                <w:szCs w:val="21"/>
              </w:rPr>
            </w:pPr>
            <w:r>
              <w:rPr>
                <w:rFonts w:hint="eastAsia" w:ascii="宋体" w:hAnsi="宋体" w:cs="宋体"/>
                <w:kern w:val="0"/>
                <w:szCs w:val="21"/>
              </w:rPr>
              <w:t>自</w:t>
            </w:r>
            <w:r>
              <w:rPr>
                <w:rFonts w:hint="eastAsia" w:ascii="宋体" w:hAnsi="宋体" w:cs="宋体"/>
                <w:color w:val="000000" w:themeColor="text1"/>
                <w:kern w:val="0"/>
                <w:szCs w:val="21"/>
                <w14:textFill>
                  <w14:solidFill>
                    <w14:schemeClr w14:val="tx1"/>
                  </w14:solidFill>
                </w14:textFill>
              </w:rPr>
              <w:t>20</w:t>
            </w:r>
            <w:r>
              <w:rPr>
                <w:rFonts w:ascii="宋体" w:hAnsi="宋体" w:cs="宋体"/>
                <w:color w:val="000000" w:themeColor="text1"/>
                <w:kern w:val="0"/>
                <w:szCs w:val="21"/>
                <w14:textFill>
                  <w14:solidFill>
                    <w14:schemeClr w14:val="tx1"/>
                  </w14:solidFill>
                </w14:textFill>
              </w:rPr>
              <w:t>18</w:t>
            </w:r>
            <w:r>
              <w:rPr>
                <w:rFonts w:hint="eastAsia" w:ascii="宋体" w:hAnsi="宋体" w:cs="宋体"/>
                <w:kern w:val="0"/>
                <w:szCs w:val="21"/>
              </w:rPr>
              <w:t>年1月至今，供应商每有一个类似业绩的得3分，本项最多得9分。（提供证书复印件并加盖公章）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49" w:type="pct"/>
            <w:vMerge w:val="restart"/>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技术方案(55分)</w:t>
            </w:r>
          </w:p>
        </w:tc>
        <w:tc>
          <w:tcPr>
            <w:tcW w:w="610" w:type="pct"/>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项目理解与分析</w:t>
            </w:r>
          </w:p>
        </w:tc>
        <w:tc>
          <w:tcPr>
            <w:tcW w:w="457" w:type="pct"/>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348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对项目建设内容进行全面理解与分析，从基于区块链技术的检验检测数据朔源及深度学习的商品价格欺诈行为与电子数据取证现状、项目建设目标、项目需求分析维度展开，分析全面，理解透彻得1-5分，维度缺失，分析不全面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49" w:type="pct"/>
            <w:vMerge w:val="continue"/>
            <w:shd w:val="clear" w:color="auto" w:fill="auto"/>
            <w:noWrap w:val="0"/>
            <w:vAlign w:val="center"/>
          </w:tcPr>
          <w:p>
            <w:pPr>
              <w:widowControl/>
              <w:jc w:val="center"/>
              <w:rPr>
                <w:rFonts w:hint="eastAsia" w:ascii="宋体" w:hAnsi="宋体" w:cs="宋体"/>
                <w:kern w:val="0"/>
                <w:szCs w:val="21"/>
              </w:rPr>
            </w:pPr>
          </w:p>
        </w:tc>
        <w:tc>
          <w:tcPr>
            <w:tcW w:w="610" w:type="pct"/>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总体架构</w:t>
            </w:r>
          </w:p>
        </w:tc>
        <w:tc>
          <w:tcPr>
            <w:tcW w:w="457" w:type="pct"/>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348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项目总体架构及设计思路清晰，结构完整，根据投标方案进行综合评定，方案完整、合理、针对性强的4-5分；方案基本合理2-3分；欠考虑有待提高的得1分；未提供的和方案缺乏针对性或有重大漏洞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449" w:type="pct"/>
            <w:vMerge w:val="continue"/>
            <w:shd w:val="clear" w:color="auto" w:fill="auto"/>
            <w:noWrap w:val="0"/>
            <w:vAlign w:val="center"/>
          </w:tcPr>
          <w:p>
            <w:pPr>
              <w:widowControl/>
              <w:jc w:val="left"/>
              <w:rPr>
                <w:rFonts w:hint="eastAsia" w:ascii="宋体" w:hAnsi="宋体" w:cs="宋体"/>
                <w:kern w:val="0"/>
                <w:szCs w:val="21"/>
              </w:rPr>
            </w:pPr>
          </w:p>
        </w:tc>
        <w:tc>
          <w:tcPr>
            <w:tcW w:w="610" w:type="pct"/>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系统业务功能</w:t>
            </w:r>
          </w:p>
        </w:tc>
        <w:tc>
          <w:tcPr>
            <w:tcW w:w="457" w:type="pct"/>
            <w:shd w:val="clear" w:color="000000" w:fill="FFFFFF"/>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348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系统业务功能设计合理，应用系统功能设计完善，有详细的功能框架图、业务流程图，根据投标方案进行综合评定，方案完整、合理、针对性强的11-15分；方案基本合理6-10分；欠考虑有待提高的得1-5分；未提供的和方案缺乏针对性或有重大漏洞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49" w:type="pct"/>
            <w:vMerge w:val="continue"/>
            <w:noWrap w:val="0"/>
            <w:vAlign w:val="center"/>
          </w:tcPr>
          <w:p>
            <w:pPr>
              <w:widowControl/>
              <w:jc w:val="left"/>
              <w:rPr>
                <w:rFonts w:hint="eastAsia" w:ascii="宋体" w:hAnsi="宋体" w:cs="宋体"/>
                <w:kern w:val="0"/>
                <w:szCs w:val="21"/>
              </w:rPr>
            </w:pPr>
          </w:p>
        </w:tc>
        <w:tc>
          <w:tcPr>
            <w:tcW w:w="610"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数据库表设计</w:t>
            </w:r>
          </w:p>
        </w:tc>
        <w:tc>
          <w:tcPr>
            <w:tcW w:w="457"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348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提供的数据库表设计方案符合数据库设计规范、至少提供基础信息表、权限信息表、用户信息表、权限类型表、产品信息表的详细设计，基础信息表数据维度不少于30项。提供至少5张表详细设计并且信息表数据维度不少于30项的得5分，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49" w:type="pct"/>
            <w:vMerge w:val="continue"/>
            <w:noWrap w:val="0"/>
            <w:vAlign w:val="center"/>
          </w:tcPr>
          <w:p>
            <w:pPr>
              <w:widowControl/>
              <w:jc w:val="left"/>
              <w:rPr>
                <w:rFonts w:hint="eastAsia" w:ascii="宋体" w:hAnsi="宋体" w:cs="宋体"/>
                <w:kern w:val="0"/>
                <w:szCs w:val="21"/>
              </w:rPr>
            </w:pPr>
          </w:p>
        </w:tc>
        <w:tc>
          <w:tcPr>
            <w:tcW w:w="610"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智能AI学习设计</w:t>
            </w:r>
          </w:p>
        </w:tc>
        <w:tc>
          <w:tcPr>
            <w:tcW w:w="457" w:type="pct"/>
            <w:noWrap/>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348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提供的智能AI实现方案，提供至少5种关联模块设计方案且每模块不得少于2个功能实现的得5-7分，方案有缺失的得1-4，其他不得分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49" w:type="pct"/>
            <w:vMerge w:val="continue"/>
            <w:noWrap w:val="0"/>
            <w:vAlign w:val="center"/>
          </w:tcPr>
          <w:p>
            <w:pPr>
              <w:widowControl/>
              <w:jc w:val="left"/>
              <w:rPr>
                <w:rFonts w:hint="eastAsia" w:ascii="宋体" w:hAnsi="宋体" w:cs="宋体"/>
                <w:kern w:val="0"/>
                <w:szCs w:val="21"/>
              </w:rPr>
            </w:pPr>
          </w:p>
        </w:tc>
        <w:tc>
          <w:tcPr>
            <w:tcW w:w="610"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区块链信息存储设计</w:t>
            </w:r>
          </w:p>
        </w:tc>
        <w:tc>
          <w:tcPr>
            <w:tcW w:w="457" w:type="pct"/>
            <w:noWrap/>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348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提供信息上链设计方案，提供至少上链方案，存储方案,安全方案，校验方案设计。提供至所有方案设计流程图得5-7分，方案有缺失的得1-4，其他不得分 ,其他不得分。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49" w:type="pct"/>
            <w:vMerge w:val="continue"/>
            <w:noWrap w:val="0"/>
            <w:vAlign w:val="center"/>
          </w:tcPr>
          <w:p>
            <w:pPr>
              <w:widowControl/>
              <w:jc w:val="left"/>
              <w:rPr>
                <w:rFonts w:hint="eastAsia" w:ascii="宋体" w:hAnsi="宋体" w:cs="宋体"/>
                <w:kern w:val="0"/>
                <w:szCs w:val="21"/>
              </w:rPr>
            </w:pPr>
          </w:p>
        </w:tc>
        <w:tc>
          <w:tcPr>
            <w:tcW w:w="610"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项目实施方案</w:t>
            </w:r>
          </w:p>
        </w:tc>
        <w:tc>
          <w:tcPr>
            <w:tcW w:w="457" w:type="pct"/>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348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提供的项目实施方案（包括系统开发团队配置、进度计划、质量控制等），根据投标方案进行综合评定，方案完整、合理、针对性强的2分；方案基本合理1分；未提供的和方案缺乏针对性或有重大漏洞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49" w:type="pct"/>
            <w:vMerge w:val="continue"/>
            <w:noWrap w:val="0"/>
            <w:vAlign w:val="center"/>
          </w:tcPr>
          <w:p>
            <w:pPr>
              <w:widowControl/>
              <w:jc w:val="left"/>
              <w:rPr>
                <w:rFonts w:hint="eastAsia" w:ascii="宋体" w:hAnsi="宋体" w:cs="宋体"/>
                <w:kern w:val="0"/>
                <w:szCs w:val="21"/>
              </w:rPr>
            </w:pPr>
          </w:p>
        </w:tc>
        <w:tc>
          <w:tcPr>
            <w:tcW w:w="610"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培训方案</w:t>
            </w:r>
          </w:p>
        </w:tc>
        <w:tc>
          <w:tcPr>
            <w:tcW w:w="457" w:type="pct"/>
            <w:noWrap/>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348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提供完整全面合理的培训方案，根据投标方案进行综合评定，方案完整、合理、针对性强的3分；方案基本合理2分；欠考虑有待提高的得1分；未提供的和方案缺乏针对性或有重大漏洞或未提供不得分。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49" w:type="pct"/>
            <w:vMerge w:val="continue"/>
            <w:noWrap w:val="0"/>
            <w:vAlign w:val="center"/>
          </w:tcPr>
          <w:p>
            <w:pPr>
              <w:widowControl/>
              <w:jc w:val="left"/>
              <w:rPr>
                <w:rFonts w:hint="eastAsia" w:ascii="宋体" w:hAnsi="宋体" w:cs="宋体"/>
                <w:kern w:val="0"/>
                <w:szCs w:val="21"/>
              </w:rPr>
            </w:pPr>
          </w:p>
        </w:tc>
        <w:tc>
          <w:tcPr>
            <w:tcW w:w="610"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测试验收</w:t>
            </w:r>
          </w:p>
        </w:tc>
        <w:tc>
          <w:tcPr>
            <w:tcW w:w="457" w:type="pct"/>
            <w:noWrap/>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348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提供完整全面合理的测试验收方案，根据投标方案进行综合评定，方案完整、合理、针对性强的2分；方案基本合理1分；未提供的和方案缺乏针对性或有重大漏洞或未提供不得分。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49" w:type="pct"/>
            <w:vMerge w:val="continue"/>
            <w:shd w:val="clear" w:color="auto" w:fill="auto"/>
            <w:noWrap w:val="0"/>
            <w:vAlign w:val="center"/>
          </w:tcPr>
          <w:p>
            <w:pPr>
              <w:widowControl/>
              <w:jc w:val="left"/>
              <w:rPr>
                <w:rFonts w:hint="eastAsia" w:ascii="宋体" w:hAnsi="宋体" w:cs="宋体"/>
                <w:kern w:val="0"/>
                <w:szCs w:val="21"/>
              </w:rPr>
            </w:pPr>
          </w:p>
        </w:tc>
        <w:tc>
          <w:tcPr>
            <w:tcW w:w="610" w:type="pct"/>
            <w:shd w:val="clear" w:color="auto" w:fill="auto"/>
            <w:noWrap w:val="0"/>
            <w:vAlign w:val="center"/>
          </w:tcPr>
          <w:p>
            <w:pPr>
              <w:widowControl/>
              <w:jc w:val="center"/>
              <w:rPr>
                <w:rFonts w:hint="eastAsia" w:ascii="宋体" w:hAnsi="宋体" w:cs="宋体"/>
                <w:kern w:val="0"/>
                <w:szCs w:val="21"/>
              </w:rPr>
            </w:pPr>
            <w:r>
              <w:rPr>
                <w:rFonts w:hint="eastAsia" w:ascii="宋体" w:hAnsi="宋体" w:cs="宋体"/>
                <w:kern w:val="0"/>
                <w:szCs w:val="21"/>
              </w:rPr>
              <w:t>售后方案</w:t>
            </w:r>
          </w:p>
        </w:tc>
        <w:tc>
          <w:tcPr>
            <w:tcW w:w="457" w:type="pct"/>
            <w:shd w:val="clear" w:color="000000" w:fill="FFFFFF"/>
            <w:noWrap/>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3482" w:type="pct"/>
            <w:noWrap w:val="0"/>
            <w:vAlign w:val="center"/>
          </w:tcPr>
          <w:p>
            <w:pPr>
              <w:widowControl/>
              <w:jc w:val="left"/>
              <w:rPr>
                <w:rFonts w:hint="eastAsia" w:ascii="宋体" w:hAnsi="宋体" w:cs="宋体"/>
                <w:kern w:val="0"/>
                <w:szCs w:val="21"/>
              </w:rPr>
            </w:pPr>
            <w:r>
              <w:rPr>
                <w:rFonts w:hint="eastAsia" w:ascii="宋体" w:hAnsi="宋体" w:cs="宋体"/>
                <w:kern w:val="0"/>
                <w:szCs w:val="21"/>
              </w:rPr>
              <w:t>提供切实可行的售后服务解决方案，根据投标方案进行综合评定，方案完整、合理、针对性强的3-4分；方案基本合理2分；欠考虑有待提高的得1分；未提供的和方案缺乏针对性或有重大漏洞或未提供不得分。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5000" w:type="pct"/>
            <w:gridSpan w:val="4"/>
            <w:noWrap w:val="0"/>
            <w:vAlign w:val="center"/>
          </w:tcPr>
          <w:p>
            <w:pPr>
              <w:adjustRightInd w:val="0"/>
              <w:spacing w:line="240" w:lineRule="exact"/>
              <w:jc w:val="left"/>
              <w:textAlignment w:val="baseline"/>
              <w:rPr>
                <w:rFonts w:hint="eastAsia" w:ascii="宋体" w:hAnsi="宋体" w:cs="宋体"/>
                <w:color w:val="000000"/>
                <w:kern w:val="0"/>
                <w:szCs w:val="21"/>
              </w:rPr>
            </w:pPr>
            <w:r>
              <w:rPr>
                <w:rFonts w:hint="eastAsia" w:ascii="宋体" w:hAnsi="宋体" w:cs="宋体"/>
                <w:color w:val="000000"/>
                <w:kern w:val="0"/>
                <w:szCs w:val="21"/>
                <w:lang w:bidi="ar"/>
              </w:rPr>
              <w:t>备注：1.总得分相同时确定排序的原则：以报价（修正后的，如有）较低的排名靠前，报价仍相同的，以技术部分得分高的排名靠前。</w:t>
            </w:r>
          </w:p>
          <w:p>
            <w:pPr>
              <w:adjustRightInd w:val="0"/>
              <w:spacing w:line="240" w:lineRule="exact"/>
              <w:jc w:val="left"/>
              <w:textAlignment w:val="baseline"/>
              <w:rPr>
                <w:rFonts w:hint="eastAsia" w:ascii="宋体" w:hAnsi="宋体" w:cs="宋体"/>
                <w:color w:val="000000"/>
                <w:kern w:val="0"/>
                <w:szCs w:val="21"/>
              </w:rPr>
            </w:pPr>
            <w:r>
              <w:rPr>
                <w:rFonts w:hint="eastAsia" w:ascii="宋体" w:hAnsi="宋体" w:cs="宋体"/>
                <w:color w:val="000000"/>
                <w:kern w:val="0"/>
                <w:szCs w:val="21"/>
                <w:lang w:bidi="ar"/>
              </w:rPr>
              <w:t>2.各供应商的最终得分计算方式为：☑各评委对其总评分的算术平均值</w:t>
            </w:r>
          </w:p>
          <w:p>
            <w:pPr>
              <w:rPr>
                <w:rFonts w:hint="eastAsia" w:ascii="宋体" w:hAnsi="宋体" w:cs="宋体"/>
                <w:kern w:val="0"/>
                <w:szCs w:val="21"/>
              </w:rPr>
            </w:pPr>
            <w:r>
              <w:rPr>
                <w:rFonts w:hint="eastAsia" w:ascii="宋体" w:hAnsi="宋体" w:cs="宋体"/>
                <w:color w:val="000000"/>
                <w:kern w:val="0"/>
                <w:szCs w:val="21"/>
                <w:lang w:bidi="ar"/>
              </w:rPr>
              <w:t>□各评委对其总评分去掉一个最高分和一个最低分后的算术平均值</w:t>
            </w:r>
          </w:p>
        </w:tc>
      </w:tr>
    </w:tbl>
    <w:p>
      <w:pPr>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NDM0NDI0MWNkYzM5YWI3YmM3MDJiMzRiNjUwNDAifQ=="/>
  </w:docVars>
  <w:rsids>
    <w:rsidRoot w:val="073B0542"/>
    <w:rsid w:val="073B0542"/>
    <w:rsid w:val="45D03D7B"/>
    <w:rsid w:val="7F10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cs="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1354</Words>
  <Characters>1398</Characters>
  <Lines>0</Lines>
  <Paragraphs>0</Paragraphs>
  <TotalTime>0</TotalTime>
  <ScaleCrop>false</ScaleCrop>
  <LinksUpToDate>false</LinksUpToDate>
  <CharactersWithSpaces>1423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2023-07-07T01:52:00Z</dcterms:created>
  <dc:creator>Administrator</dc:creator>
  <cp:lastModifiedBy>Administrator</cp:lastModifiedBy>
  <dcterms:modified xsi:type="dcterms:W3CDTF">2023-07-07T01:53:09Z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2A5EA1C95C9643838E6086CDB24673E0_11</vt:lpwstr>
  </property>
</Properties>
</file>